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99" w:rsidRDefault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2824999" cy="20573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999" cy="2057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399" w:rsidRDefault="002D1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BE07EA" w:rsidRDefault="00BE07EA" w:rsidP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5034C5" w:rsidRPr="00760328" w:rsidRDefault="005034C5" w:rsidP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Puede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encontrar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información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sobre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este</w:t>
      </w:r>
      <w:proofErr w:type="spellEnd"/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programa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inglés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nuestro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hyperlink r:id="rId6" w:history="1">
        <w:proofErr w:type="spellStart"/>
        <w:r w:rsidRPr="00760328">
          <w:rPr>
            <w:rStyle w:val="Hyperlink"/>
            <w:rFonts w:asciiTheme="majorHAnsi" w:eastAsia="Calibri" w:hAnsiTheme="majorHAnsi" w:cstheme="majorHAnsi"/>
            <w:sz w:val="21"/>
            <w:szCs w:val="21"/>
          </w:rPr>
          <w:t>sitio</w:t>
        </w:r>
        <w:proofErr w:type="spellEnd"/>
        <w:r w:rsidRPr="00760328">
          <w:rPr>
            <w:rStyle w:val="Hyperlink"/>
            <w:rFonts w:asciiTheme="majorHAnsi" w:eastAsia="Calibri" w:hAnsiTheme="majorHAnsi" w:cstheme="majorHAnsi"/>
            <w:sz w:val="21"/>
            <w:szCs w:val="21"/>
          </w:rPr>
          <w:t xml:space="preserve"> web</w:t>
        </w:r>
      </w:hyperlink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.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este</w:t>
      </w:r>
      <w:proofErr w:type="spellEnd"/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programa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también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estará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disponible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español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tagalo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, chino (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tradicional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),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vietnamita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coreano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panyabí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.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aplicación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abrirá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al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mediodía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el 25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abril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2022, y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cerrará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a las 5:00 p. m. PT, el 20 de mayo de 2022.</w:t>
      </w:r>
    </w:p>
    <w:p w:rsidR="002D1399" w:rsidRPr="00760328" w:rsidRDefault="000D0C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13"/>
        <w:rPr>
          <w:rFonts w:asciiTheme="majorHAnsi" w:eastAsia="Calibri" w:hAnsiTheme="majorHAnsi" w:cstheme="majorHAnsi"/>
          <w:b/>
          <w:sz w:val="21"/>
          <w:szCs w:val="21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El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de California de Alivio para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Artistas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Practicantes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Cultura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asociación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entre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Consejo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las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California y el Yerba Buena Center for the Arts (YBCA).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California de Alivio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Practicantes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distribuye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aproximadamente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1.95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millones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dólares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general de CAC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ayudar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profesionales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(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plásticos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interpretación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profesores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arte,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portadores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otros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emprendedores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creativos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) que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residen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las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ricas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diversas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comunidades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culturales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estado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California. Al YBCA se le ha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encargado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administración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este</w:t>
      </w:r>
      <w:proofErr w:type="spellEnd"/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ayuda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.</w:t>
      </w:r>
    </w:p>
    <w:p w:rsidR="00FF3B2F" w:rsidRPr="00760328" w:rsidRDefault="00FF3B2F" w:rsidP="000D0C70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:rsidR="000D0C70" w:rsidRPr="00760328" w:rsidRDefault="000D0C70" w:rsidP="000D0C70">
      <w:pPr>
        <w:spacing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760328">
        <w:rPr>
          <w:rFonts w:asciiTheme="majorHAnsi" w:hAnsiTheme="majorHAnsi" w:cstheme="majorHAnsi"/>
          <w:b/>
          <w:sz w:val="21"/>
          <w:szCs w:val="21"/>
        </w:rPr>
        <w:t>ACERCA DEL FONDO</w:t>
      </w:r>
    </w:p>
    <w:p w:rsidR="00FF3B2F" w:rsidRPr="00760328" w:rsidRDefault="00FF3B2F" w:rsidP="000D0C70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:rsidR="000D0C70" w:rsidRPr="00760328" w:rsidRDefault="000D0C70" w:rsidP="000D0C70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 de Alivio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Practicantes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fue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iniciado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por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Consejo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agencia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estatal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con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misión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fortalecer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expresión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artística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herramientas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para cultivar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mejor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California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todos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.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Respalda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programación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infraestructura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artística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local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todo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través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subvenciones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iniciativas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servicios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.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Consejo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imagina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California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donde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todas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las personas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salgan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adelante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con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acceso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universal y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participación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.</w:t>
      </w:r>
    </w:p>
    <w:p w:rsidR="00FF3B2F" w:rsidRPr="00760328" w:rsidRDefault="00FF3B2F" w:rsidP="000D0C70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:rsidR="000D0C70" w:rsidRPr="00760328" w:rsidRDefault="000D0C70" w:rsidP="000D0C70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se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distribuirá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reflejar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diversidad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cultural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geográfica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Pr="00760328">
        <w:rPr>
          <w:rFonts w:asciiTheme="majorHAnsi" w:hAnsiTheme="majorHAnsi" w:cstheme="majorHAnsi"/>
          <w:sz w:val="21"/>
          <w:szCs w:val="21"/>
        </w:rPr>
        <w:t>del</w:t>
      </w:r>
      <w:proofErr w:type="gram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incluidos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aquellos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cuya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práctica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artística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está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profundamente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arraigada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comunidades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históricamente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marginadas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. 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efectos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ayuda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comunidades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prioritarias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incluyen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a personas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origen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africano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indios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americanos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nativos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Alaska, personas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origen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árabe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personas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origen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asiático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asiático-estadounidense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personas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raza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negra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afroamericanos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personas con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discapacidad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inmigrantes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pueblos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indígenas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personas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origen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latino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LGBTQIA2S+, MENASA (Medio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Oriente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África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del Norte, Asia del Sur), personas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nativas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Hawái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de las Islas del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Pacífico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refugiados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mujeres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.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Además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alentamos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presenten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su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solicitud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aquellos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tienen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bajos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ingresos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que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tienen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dificultades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obtener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retener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proofErr w:type="gramStart"/>
      <w:r w:rsidRPr="00760328">
        <w:rPr>
          <w:rFonts w:asciiTheme="majorHAnsi" w:hAnsiTheme="majorHAnsi" w:cstheme="majorHAnsi"/>
          <w:sz w:val="21"/>
          <w:szCs w:val="21"/>
        </w:rPr>
        <w:t>fuentes</w:t>
      </w:r>
      <w:proofErr w:type="spellEnd"/>
      <w:proofErr w:type="gram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ingresos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que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viven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comunidades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rurales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son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indocumentados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.</w:t>
      </w:r>
    </w:p>
    <w:p w:rsidR="00FF3B2F" w:rsidRPr="00760328" w:rsidRDefault="00FF3B2F" w:rsidP="000D0C70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:rsidR="00BE07EA" w:rsidRPr="00760328" w:rsidRDefault="000D0C70" w:rsidP="00FF3B2F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 de Alivio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Practicantes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pone 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disposición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un total de $1 953 000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montos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adjudicación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$1000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profesionales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(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decir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plásticos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literarios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visuales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interpretación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;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profesores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arte;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portadores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;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emprendedores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sociales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creativos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individuales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colectivos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) que son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residentes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actuales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tiempo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completo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r w:rsidRPr="00760328">
        <w:rPr>
          <w:rFonts w:asciiTheme="majorHAnsi" w:hAnsiTheme="majorHAnsi" w:cstheme="majorHAnsi"/>
          <w:sz w:val="21"/>
          <w:szCs w:val="21"/>
        </w:rPr>
        <w:lastRenderedPageBreak/>
        <w:t xml:space="preserve">del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California. 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efectos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ayuda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interesado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un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independiente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un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emprendedor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empleado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organización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sin fines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lucro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para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cual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arte</w:t>
      </w:r>
      <w:r w:rsidR="00FF3B2F" w:rsidRPr="00760328">
        <w:rPr>
          <w:rFonts w:asciiTheme="majorHAnsi" w:hAnsiTheme="majorHAnsi" w:cstheme="majorHAnsi"/>
          <w:sz w:val="21"/>
          <w:szCs w:val="21"/>
        </w:rPr>
        <w:t>s</w:t>
      </w:r>
      <w:proofErr w:type="spellEnd"/>
      <w:r w:rsidR="00FF3B2F" w:rsidRPr="00760328">
        <w:rPr>
          <w:rFonts w:asciiTheme="majorHAnsi" w:hAnsiTheme="majorHAnsi" w:cstheme="majorHAnsi"/>
          <w:sz w:val="21"/>
          <w:szCs w:val="21"/>
        </w:rPr>
        <w:t xml:space="preserve"> y la </w:t>
      </w:r>
      <w:proofErr w:type="spellStart"/>
      <w:r w:rsidR="00FF3B2F"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="00FF3B2F"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FF3B2F" w:rsidRPr="00760328">
        <w:rPr>
          <w:rFonts w:asciiTheme="majorHAnsi" w:hAnsiTheme="majorHAnsi" w:cstheme="majorHAnsi"/>
          <w:sz w:val="21"/>
          <w:szCs w:val="21"/>
        </w:rPr>
        <w:t>sean</w:t>
      </w:r>
      <w:proofErr w:type="spellEnd"/>
      <w:r w:rsidR="00FF3B2F"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FF3B2F" w:rsidRPr="00760328">
        <w:rPr>
          <w:rFonts w:asciiTheme="majorHAnsi" w:hAnsiTheme="majorHAnsi" w:cstheme="majorHAnsi"/>
          <w:sz w:val="21"/>
          <w:szCs w:val="21"/>
        </w:rPr>
        <w:t>esenciales</w:t>
      </w:r>
      <w:proofErr w:type="spellEnd"/>
      <w:r w:rsidR="00FF3B2F" w:rsidRPr="00760328">
        <w:rPr>
          <w:rFonts w:asciiTheme="majorHAnsi" w:hAnsiTheme="majorHAnsi" w:cstheme="majorHAnsi"/>
          <w:sz w:val="21"/>
          <w:szCs w:val="21"/>
        </w:rPr>
        <w:t>.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305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305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SOLICITUD Y PROCESO DE REVISIÓN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305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305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Las solicitudes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aceptarán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desde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mediodía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del</w:t>
      </w:r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25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abril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hasta las 5:00 p. m. del 20 de mayo de 2022.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junio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2022,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notificará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solicitantes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estado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su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adjudicación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fondos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entregarán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más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tardar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31 de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julio</w:t>
      </w:r>
      <w:proofErr w:type="spellEnd"/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2022. Si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reciben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más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solicitudes de las que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permiten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fondos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el YBCA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dará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prioridad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solicitantes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con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prácticas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artísticas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profundamente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arraigadas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comunidades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históricamente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marginadas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utilizará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</w:t>
      </w:r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sistema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lotería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efectos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ayuda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estas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comunidades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prioritarias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incluyen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personas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origen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africano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indios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americanos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nativos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Alaska, personas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origen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árabe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personas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origen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asiático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asiático-estadounidense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personas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raza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negra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afroamericanos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personas con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discapacidad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inmigrantes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pueblos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indígenas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personas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origen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latino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LGBTQIA2S+, MENASA (Medio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Oriente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África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del Norte, Asia del Sur), personas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nativas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Hawái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o de las Islas del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Pacífico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refugiados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mujeres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.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305"/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2D1399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305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Los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pagos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$1000 no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tendrán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restricciones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podrán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usar</w:t>
      </w:r>
      <w:proofErr w:type="spellEnd"/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cualquier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gasto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personal que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alivie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presiones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financieras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debido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desastre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reconocido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federalmente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causado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por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 COVID-19. Los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pagos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serán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</w:t>
      </w:r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ingreso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no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sujeto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impuestos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siempre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cuando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 COVID-19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siga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considerando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desastre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federal al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momento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que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entreguen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pagos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Recibir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esta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ayuda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no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significa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que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beneficiario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esté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obligado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realizar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algún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trabajo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para el YBCA o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estado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California. Los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adjudicatarios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recibirán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realizar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encuesta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línea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sobre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impacto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uso</w:t>
      </w:r>
      <w:proofErr w:type="spellEnd"/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fondos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Las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respuestas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encuesta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proporcionarán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información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valiosa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sobre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cómo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satisfacer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mejor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necesidades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quienes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trabajan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artes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.</w:t>
      </w:r>
    </w:p>
    <w:p w:rsidR="00FF3B2F" w:rsidRPr="00760328" w:rsidRDefault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right="305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FF3B2F" w:rsidRPr="00760328" w:rsidRDefault="00FF3B2F" w:rsidP="00FF3B2F">
      <w:pPr>
        <w:spacing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760328">
        <w:rPr>
          <w:rFonts w:asciiTheme="majorHAnsi" w:hAnsiTheme="majorHAnsi" w:cstheme="majorHAnsi"/>
          <w:b/>
          <w:sz w:val="21"/>
          <w:szCs w:val="21"/>
        </w:rPr>
        <w:t>REQUISITOS DE ELEGIBILIDAD</w:t>
      </w:r>
    </w:p>
    <w:p w:rsidR="00FF3B2F" w:rsidRPr="00760328" w:rsidRDefault="00FF3B2F" w:rsidP="00FF3B2F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:rsidR="00FF3B2F" w:rsidRPr="00760328" w:rsidRDefault="00FF3B2F" w:rsidP="00FF3B2F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solicitar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 de Alivio para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Practicantes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solicitantes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:</w:t>
      </w:r>
    </w:p>
    <w:p w:rsidR="00FF3B2F" w:rsidRPr="00760328" w:rsidRDefault="00FF3B2F" w:rsidP="00FF3B2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Deben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residentes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actuales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tiempo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completo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estado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California;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deben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proporcionar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constancia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residencia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;</w:t>
      </w:r>
    </w:p>
    <w:p w:rsidR="00FF3B2F" w:rsidRPr="00760328" w:rsidRDefault="00FF3B2F" w:rsidP="00FF3B2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Deben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artistas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profesionales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;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deben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demostrar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papel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profesional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desempeñan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;</w:t>
      </w:r>
    </w:p>
    <w:p w:rsidR="00FF3B2F" w:rsidRPr="00760328" w:rsidRDefault="00FF3B2F" w:rsidP="00FF3B2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Deben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tener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al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menos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18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años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edad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al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momento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realizar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solicitud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;</w:t>
      </w:r>
    </w:p>
    <w:p w:rsidR="00FF3B2F" w:rsidRPr="00760328" w:rsidRDefault="00FF3B2F" w:rsidP="00FF3B2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No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pueden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tener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conflicto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interés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(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relaciones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familiares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financieras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) con las juntas, el personal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directores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del Yerba Buena Center for the Arts,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Consejo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las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California o con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funcionarios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electos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nivel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estatal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su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personal; y</w:t>
      </w:r>
    </w:p>
    <w:p w:rsidR="00FF3B2F" w:rsidRPr="00760328" w:rsidRDefault="00FF3B2F" w:rsidP="00FF3B2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Solo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pueden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realizar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solicitud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vez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.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Theme="majorHAnsi" w:eastAsia="Calibri" w:hAnsiTheme="majorHAnsi" w:cstheme="majorHAnsi"/>
          <w:b/>
          <w:sz w:val="21"/>
          <w:szCs w:val="21"/>
        </w:rPr>
      </w:pPr>
      <w:r w:rsidRPr="00760328">
        <w:rPr>
          <w:rFonts w:asciiTheme="majorHAnsi" w:eastAsia="Calibri" w:hAnsiTheme="majorHAnsi" w:cstheme="majorHAnsi"/>
          <w:b/>
          <w:sz w:val="21"/>
          <w:szCs w:val="21"/>
        </w:rPr>
        <w:t>SOLICITUD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21"/>
          <w:szCs w:val="21"/>
        </w:rPr>
      </w:pP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simple se divide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seis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(6)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secciones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:</w:t>
      </w:r>
    </w:p>
    <w:p w:rsidR="00FF3B2F" w:rsidRPr="00760328" w:rsidRDefault="00FF3B2F" w:rsidP="00FF3B2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Elegibilidad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>:</w:t>
      </w: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solicitante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confirmar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elegible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postularse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;</w:t>
      </w:r>
    </w:p>
    <w:p w:rsidR="00FF3B2F" w:rsidRPr="00760328" w:rsidRDefault="00FF3B2F" w:rsidP="00FF3B2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Información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general:</w:t>
      </w: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solicitante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proporcionar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información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general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su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nombre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información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contacto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condado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residencia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, etc.;</w:t>
      </w:r>
    </w:p>
    <w:p w:rsidR="00FF3B2F" w:rsidRPr="00760328" w:rsidRDefault="00FF3B2F" w:rsidP="00FF3B2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Dificultades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económicas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>:</w:t>
      </w: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solicitante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confirmar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que ha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experimentado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dificultades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económicas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debido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a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pandemia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COVID-19;</w:t>
      </w:r>
    </w:p>
    <w:p w:rsidR="00FF3B2F" w:rsidRPr="00760328" w:rsidRDefault="00FF3B2F" w:rsidP="00FF3B2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Práctica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artística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>:</w:t>
      </w: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solicitante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detallar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su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práctica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artística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declarar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si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su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práctica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está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profundamente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arraigada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nuestras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comunidades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prioritarias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;</w:t>
      </w:r>
    </w:p>
    <w:p w:rsidR="00BE07EA" w:rsidRPr="00A43563" w:rsidRDefault="00FF3B2F" w:rsidP="00FF3B2F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Confirmación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envío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>:</w:t>
      </w: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solicitante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confirmar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toda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información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proporcionada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lastRenderedPageBreak/>
        <w:t>au</w:t>
      </w:r>
      <w:r w:rsidR="00A43563">
        <w:rPr>
          <w:rFonts w:asciiTheme="majorHAnsi" w:eastAsia="Calibri" w:hAnsiTheme="majorHAnsi" w:cstheme="majorHAnsi"/>
          <w:sz w:val="21"/>
          <w:szCs w:val="21"/>
        </w:rPr>
        <w:t>téntica</w:t>
      </w:r>
      <w:proofErr w:type="spellEnd"/>
      <w:r w:rsidR="00A43563">
        <w:rPr>
          <w:rFonts w:asciiTheme="majorHAnsi" w:eastAsia="Calibri" w:hAnsiTheme="majorHAnsi" w:cstheme="majorHAnsi"/>
          <w:sz w:val="21"/>
          <w:szCs w:val="21"/>
        </w:rPr>
        <w:t xml:space="preserve"> y </w:t>
      </w:r>
      <w:proofErr w:type="spellStart"/>
      <w:r w:rsidR="00A43563">
        <w:rPr>
          <w:rFonts w:asciiTheme="majorHAnsi" w:eastAsia="Calibri" w:hAnsiTheme="majorHAnsi" w:cstheme="majorHAnsi"/>
          <w:sz w:val="21"/>
          <w:szCs w:val="21"/>
        </w:rPr>
        <w:t>correcta</w:t>
      </w:r>
      <w:proofErr w:type="spellEnd"/>
      <w:r w:rsidR="00A43563">
        <w:rPr>
          <w:rFonts w:asciiTheme="majorHAnsi" w:eastAsia="Calibri" w:hAnsiTheme="majorHAnsi" w:cstheme="majorHAnsi"/>
          <w:sz w:val="21"/>
          <w:szCs w:val="21"/>
        </w:rPr>
        <w:t>;</w:t>
      </w:r>
    </w:p>
    <w:p w:rsidR="00A43563" w:rsidRPr="00A43563" w:rsidRDefault="00A43563" w:rsidP="00A4356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Datos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b/>
          <w:sz w:val="21"/>
          <w:szCs w:val="21"/>
        </w:rPr>
        <w:t>demográficos</w:t>
      </w:r>
      <w:proofErr w:type="spellEnd"/>
      <w:r w:rsidRPr="00760328">
        <w:rPr>
          <w:rFonts w:asciiTheme="majorHAnsi" w:eastAsia="Calibri" w:hAnsiTheme="majorHAnsi" w:cstheme="majorHAnsi"/>
          <w:b/>
          <w:sz w:val="21"/>
          <w:szCs w:val="21"/>
        </w:rPr>
        <w:t>:</w:t>
      </w: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solicitante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puede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proporcionar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información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demográfica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que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Consejo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las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California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comprenda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mejor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quié</w:t>
      </w:r>
      <w:r>
        <w:rPr>
          <w:rFonts w:asciiTheme="majorHAnsi" w:eastAsia="Calibri" w:hAnsiTheme="majorHAnsi" w:cstheme="majorHAnsi"/>
          <w:sz w:val="21"/>
          <w:szCs w:val="21"/>
        </w:rPr>
        <w:t>n</w:t>
      </w:r>
      <w:proofErr w:type="spellEnd"/>
      <w:r>
        <w:rPr>
          <w:rFonts w:asciiTheme="majorHAnsi" w:eastAsia="Calibri" w:hAnsiTheme="majorHAnsi" w:cstheme="majorHAnsi"/>
          <w:sz w:val="21"/>
          <w:szCs w:val="21"/>
        </w:rPr>
        <w:t xml:space="preserve"> le </w:t>
      </w:r>
      <w:proofErr w:type="spellStart"/>
      <w:r>
        <w:rPr>
          <w:rFonts w:asciiTheme="majorHAnsi" w:eastAsia="Calibri" w:hAnsiTheme="majorHAnsi" w:cstheme="majorHAnsi"/>
          <w:sz w:val="21"/>
          <w:szCs w:val="21"/>
        </w:rPr>
        <w:t>resulta</w:t>
      </w:r>
      <w:proofErr w:type="spellEnd"/>
      <w:r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1"/>
          <w:szCs w:val="21"/>
        </w:rPr>
        <w:t>útil</w:t>
      </w:r>
      <w:proofErr w:type="spellEnd"/>
      <w:r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Calibri" w:hAnsiTheme="majorHAnsi" w:cstheme="majorHAnsi"/>
          <w:sz w:val="21"/>
          <w:szCs w:val="21"/>
        </w:rPr>
        <w:t>este</w:t>
      </w:r>
      <w:proofErr w:type="spellEnd"/>
      <w:proofErr w:type="gramEnd"/>
      <w:r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1"/>
          <w:szCs w:val="21"/>
        </w:rPr>
        <w:t>programa</w:t>
      </w:r>
      <w:proofErr w:type="spellEnd"/>
      <w:r>
        <w:rPr>
          <w:rFonts w:asciiTheme="majorHAnsi" w:eastAsia="Calibri" w:hAnsiTheme="majorHAnsi" w:cstheme="majorHAnsi"/>
          <w:sz w:val="21"/>
          <w:szCs w:val="21"/>
        </w:rPr>
        <w:t>.</w:t>
      </w:r>
      <w:bookmarkStart w:id="0" w:name="_GoBack"/>
      <w:bookmarkEnd w:id="0"/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3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PROCESO DE TIEMPO DE RESPUESTA Y PAGO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3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Si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selecciona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su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equipo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inversión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comunitaria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del</w:t>
      </w:r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YBCA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comunicará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con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usted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con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notificación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por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correo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electrónico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Luego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notificación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se le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enviará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</w:t>
      </w:r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acuerdo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formularios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financieros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través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DocuSign. Revise, complete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firme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DocuSign lo antes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posible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pago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no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procesará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ni</w:t>
      </w:r>
      <w:proofErr w:type="spellEnd"/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entregará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hasta que el DocuSign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esté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completo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vez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completado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espere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pago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5-7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días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hábiles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Todos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solicitantes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que no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sean</w:t>
      </w:r>
      <w:proofErr w:type="spellEnd"/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adjudicados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recibirán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notificación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por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correo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electrónico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fines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agosto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2022.</w:t>
      </w:r>
    </w:p>
    <w:p w:rsidR="00FF3B2F" w:rsidRPr="00760328" w:rsidRDefault="00FF3B2F" w:rsidP="00FF3B2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Lunes, 25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abril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2022 a las 12:00 p. m. PST: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abre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proceso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</w:p>
    <w:p w:rsidR="00FF3B2F" w:rsidRPr="00760328" w:rsidRDefault="00FF3B2F" w:rsidP="00FF3B2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Viernes 20 de mayo de 2022 a las 5:00 p. m. PST: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cierra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proceso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</w:p>
    <w:p w:rsidR="00FF3B2F" w:rsidRPr="00760328" w:rsidRDefault="00FF3B2F" w:rsidP="00FF3B2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rPr>
          <w:rFonts w:asciiTheme="majorHAnsi" w:eastAsia="Calibri" w:hAnsiTheme="majorHAnsi" w:cstheme="majorHAnsi"/>
          <w:color w:val="000000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Junio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2022: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envían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notificaciones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adjudicatarios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.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b/>
          <w:color w:val="000000"/>
          <w:sz w:val="21"/>
          <w:szCs w:val="21"/>
        </w:rPr>
        <w:t>CÓMO REALIZAR LA SOLICITUD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b/>
          <w:color w:val="000000"/>
          <w:sz w:val="21"/>
          <w:szCs w:val="21"/>
        </w:rPr>
      </w:pP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Las solicitudes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aceptarán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desde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lunes 25 de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abril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2022 a las 12:00 p. m. PST hasta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viernes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20 de mayo de 2022 a las 5:00 p. m. PST.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Las solicitudes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completas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deben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enviarse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antes de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fecha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límite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; no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harán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excepciones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.</w:t>
      </w: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puede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acceder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línea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del</w:t>
      </w:r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California de Alivio para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Artistas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Practicantes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Cultur</w:t>
      </w: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: </w:t>
      </w:r>
      <w:hyperlink r:id="rId7" w:history="1">
        <w:r w:rsidRPr="00760328">
          <w:rPr>
            <w:rStyle w:val="Hyperlink"/>
            <w:rFonts w:asciiTheme="majorHAnsi" w:eastAsia="Calibri" w:hAnsiTheme="majorHAnsi" w:cstheme="majorHAnsi"/>
            <w:sz w:val="21"/>
            <w:szCs w:val="21"/>
          </w:rPr>
          <w:t>https://ybca.org/california-relief-fund/</w:t>
        </w:r>
      </w:hyperlink>
    </w:p>
    <w:p w:rsidR="00FF3B2F" w:rsidRPr="00760328" w:rsidRDefault="00FF3B2F" w:rsidP="00FF3B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color w:val="000000"/>
          <w:sz w:val="21"/>
          <w:szCs w:val="21"/>
        </w:rPr>
      </w:pPr>
    </w:p>
    <w:p w:rsidR="00760328" w:rsidRPr="00760328" w:rsidRDefault="00FF3B2F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aceptarán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solicitudes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siguientes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idiomas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: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Inglés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tagalo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, chino (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tradicional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),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vietnamita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coreano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panyabí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esquina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superior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derecha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de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solicitante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podrá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seleccionar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idioma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que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desea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que se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presente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. Si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tiene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problemas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seleccionar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idioma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comuníquese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con el YBCA (</w:t>
      </w:r>
      <w:hyperlink r:id="rId8" w:history="1">
        <w:r w:rsidRPr="00760328">
          <w:rPr>
            <w:rStyle w:val="Hyperlink"/>
            <w:rFonts w:asciiTheme="majorHAnsi" w:eastAsia="Calibri" w:hAnsiTheme="majorHAnsi" w:cstheme="majorHAnsi"/>
            <w:sz w:val="21"/>
            <w:szCs w:val="21"/>
          </w:rPr>
          <w:t>artistrelief@ybca.org</w:t>
        </w:r>
      </w:hyperlink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) o le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recomendamos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pedir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ayuda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gram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un</w:t>
      </w:r>
      <w:proofErr w:type="gram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amigo,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vecino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o familiar. La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es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breve y simple, y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alentamos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las personas que no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hablan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inglés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presentar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su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color w:val="000000"/>
          <w:sz w:val="21"/>
          <w:szCs w:val="21"/>
        </w:rPr>
        <w:t>.</w:t>
      </w:r>
    </w:p>
    <w:p w:rsidR="00760328" w:rsidRPr="00760328" w:rsidRDefault="00760328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</w:rPr>
      </w:pPr>
    </w:p>
    <w:p w:rsidR="00760328" w:rsidRPr="00760328" w:rsidRDefault="00760328" w:rsidP="00760328">
      <w:pPr>
        <w:spacing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760328">
        <w:rPr>
          <w:rFonts w:asciiTheme="majorHAnsi" w:hAnsiTheme="majorHAnsi" w:cstheme="majorHAnsi"/>
          <w:b/>
          <w:sz w:val="21"/>
          <w:szCs w:val="21"/>
        </w:rPr>
        <w:t>PREGUNTAS FRECUENTES</w:t>
      </w:r>
    </w:p>
    <w:p w:rsidR="00760328" w:rsidRPr="00760328" w:rsidRDefault="00760328" w:rsidP="00760328">
      <w:pPr>
        <w:spacing w:line="240" w:lineRule="auto"/>
        <w:rPr>
          <w:rFonts w:asciiTheme="majorHAnsi" w:hAnsiTheme="majorHAnsi" w:cstheme="majorHAnsi"/>
          <w:sz w:val="21"/>
          <w:szCs w:val="21"/>
        </w:rPr>
      </w:pPr>
    </w:p>
    <w:p w:rsidR="00760328" w:rsidRPr="00760328" w:rsidRDefault="00760328" w:rsidP="00760328">
      <w:pPr>
        <w:spacing w:line="240" w:lineRule="auto"/>
        <w:rPr>
          <w:rFonts w:asciiTheme="majorHAnsi" w:hAnsiTheme="majorHAnsi" w:cstheme="majorHAnsi"/>
          <w:sz w:val="21"/>
          <w:szCs w:val="21"/>
          <w:u w:val="single"/>
        </w:rPr>
      </w:pPr>
      <w:r w:rsidRPr="00760328">
        <w:rPr>
          <w:rFonts w:asciiTheme="majorHAnsi" w:hAnsiTheme="majorHAnsi" w:cstheme="majorHAnsi"/>
          <w:sz w:val="21"/>
          <w:szCs w:val="21"/>
          <w:u w:val="single"/>
        </w:rPr>
        <w:t>¿</w:t>
      </w:r>
      <w:proofErr w:type="spellStart"/>
      <w:r w:rsidRPr="00760328">
        <w:rPr>
          <w:rFonts w:asciiTheme="majorHAnsi" w:hAnsiTheme="majorHAnsi" w:cstheme="majorHAnsi"/>
          <w:sz w:val="21"/>
          <w:szCs w:val="21"/>
          <w:u w:val="single"/>
        </w:rPr>
        <w:t>Qué</w:t>
      </w:r>
      <w:proofErr w:type="spell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  <w:u w:val="single"/>
        </w:rPr>
        <w:t>documentos</w:t>
      </w:r>
      <w:proofErr w:type="spell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  <w:u w:val="single"/>
        </w:rPr>
        <w:t>puedo</w:t>
      </w:r>
      <w:proofErr w:type="spell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  <w:u w:val="single"/>
        </w:rPr>
        <w:t>proporcionar</w:t>
      </w:r>
      <w:proofErr w:type="spell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proofErr w:type="spellStart"/>
      <w:proofErr w:type="gramStart"/>
      <w:r w:rsidRPr="00760328">
        <w:rPr>
          <w:rFonts w:asciiTheme="majorHAnsi" w:hAnsiTheme="majorHAnsi" w:cstheme="majorHAnsi"/>
          <w:sz w:val="21"/>
          <w:szCs w:val="21"/>
          <w:u w:val="single"/>
        </w:rPr>
        <w:t>como</w:t>
      </w:r>
      <w:proofErr w:type="spellEnd"/>
      <w:proofErr w:type="gram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  <w:u w:val="single"/>
        </w:rPr>
        <w:t>constancia</w:t>
      </w:r>
      <w:proofErr w:type="spell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  <w:u w:val="single"/>
        </w:rPr>
        <w:t>residencia</w:t>
      </w:r>
      <w:proofErr w:type="spell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  <w:u w:val="single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  <w:u w:val="single"/>
        </w:rPr>
        <w:t xml:space="preserve"> California?</w:t>
      </w:r>
    </w:p>
    <w:p w:rsidR="00760328" w:rsidRPr="00760328" w:rsidRDefault="00760328" w:rsidP="00760328">
      <w:pPr>
        <w:spacing w:line="240" w:lineRule="auto"/>
        <w:rPr>
          <w:rFonts w:asciiTheme="majorHAns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presentar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Pr="00760328">
        <w:rPr>
          <w:rFonts w:asciiTheme="majorHAnsi" w:hAnsiTheme="majorHAnsi" w:cstheme="majorHAnsi"/>
          <w:sz w:val="21"/>
          <w:szCs w:val="21"/>
        </w:rPr>
        <w:t>un</w:t>
      </w:r>
      <w:proofErr w:type="gram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documento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un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tercero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muestre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claramente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su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nombre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dirección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actual.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Aceptaremos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siguientes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documentos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proofErr w:type="gramStart"/>
      <w:r w:rsidRPr="00760328">
        <w:rPr>
          <w:rFonts w:asciiTheme="majorHAnsi" w:hAnsiTheme="majorHAnsi" w:cstheme="majorHAnsi"/>
          <w:sz w:val="21"/>
          <w:szCs w:val="21"/>
        </w:rPr>
        <w:t>como</w:t>
      </w:r>
      <w:proofErr w:type="spellEnd"/>
      <w:proofErr w:type="gram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constancia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residencia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:</w:t>
      </w:r>
    </w:p>
    <w:p w:rsidR="00760328" w:rsidRPr="00760328" w:rsidRDefault="00760328" w:rsidP="0076032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hAnsiTheme="majorHAnsi" w:cstheme="majorHAnsi"/>
          <w:sz w:val="21"/>
          <w:szCs w:val="21"/>
        </w:rPr>
        <w:t>Licencia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conducir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tarjeta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identificación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emitida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por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gobierno</w:t>
      </w:r>
      <w:proofErr w:type="spellEnd"/>
    </w:p>
    <w:p w:rsidR="00760328" w:rsidRPr="00760328" w:rsidRDefault="00760328" w:rsidP="0076032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Factura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servicios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públicos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(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electricidad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agua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, gas,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servicio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internet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factura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telefónica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)</w:t>
      </w:r>
    </w:p>
    <w:p w:rsidR="00760328" w:rsidRPr="00760328" w:rsidRDefault="00760328" w:rsidP="0076032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Estado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cuenta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seguro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salud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factura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médica</w:t>
      </w:r>
      <w:proofErr w:type="spellEnd"/>
    </w:p>
    <w:p w:rsidR="00760328" w:rsidRPr="00760328" w:rsidRDefault="00760328" w:rsidP="0076032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Estado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cuenta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bancario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o de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tarjeta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crédito</w:t>
      </w:r>
      <w:proofErr w:type="spellEnd"/>
    </w:p>
    <w:p w:rsidR="00760328" w:rsidRPr="00760328" w:rsidRDefault="00760328" w:rsidP="0076032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Declaración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beneficios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Pr="00760328">
        <w:rPr>
          <w:rFonts w:asciiTheme="majorHAnsi" w:hAnsiTheme="majorHAnsi" w:cstheme="majorHAnsi"/>
          <w:sz w:val="21"/>
          <w:szCs w:val="21"/>
        </w:rPr>
        <w:t>del</w:t>
      </w:r>
      <w:proofErr w:type="gram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gobierno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(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podría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incluir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SSI, SSDI, SNAP, etc.)</w:t>
      </w:r>
    </w:p>
    <w:p w:rsidR="00760328" w:rsidRPr="00760328" w:rsidRDefault="00760328" w:rsidP="00760328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carta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firmada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con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membrete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albergue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que reside</w:t>
      </w:r>
    </w:p>
    <w:p w:rsidR="00760328" w:rsidRPr="00760328" w:rsidRDefault="00760328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b/>
          <w:sz w:val="21"/>
          <w:szCs w:val="21"/>
        </w:rPr>
      </w:pPr>
      <w:r w:rsidRPr="00760328">
        <w:rPr>
          <w:rFonts w:asciiTheme="majorHAnsi" w:hAnsiTheme="majorHAnsi" w:cstheme="majorHAnsi"/>
          <w:sz w:val="21"/>
          <w:szCs w:val="21"/>
        </w:rPr>
        <w:t xml:space="preserve">Solo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necesitamos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ver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nombre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y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dirección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documento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presente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. No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es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necesario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cargar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documento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completo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.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Cubra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toda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la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información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carácter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hAnsiTheme="majorHAnsi" w:cstheme="majorHAnsi"/>
          <w:sz w:val="21"/>
          <w:szCs w:val="21"/>
        </w:rPr>
        <w:t>confidencial</w:t>
      </w:r>
      <w:proofErr w:type="spellEnd"/>
      <w:r w:rsidRPr="00760328">
        <w:rPr>
          <w:rFonts w:asciiTheme="majorHAnsi" w:hAnsiTheme="majorHAnsi" w:cstheme="majorHAnsi"/>
          <w:sz w:val="21"/>
          <w:szCs w:val="21"/>
        </w:rPr>
        <w:t>.</w:t>
      </w:r>
    </w:p>
    <w:p w:rsidR="002D1399" w:rsidRPr="00760328" w:rsidRDefault="002D1399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</w:rPr>
      </w:pPr>
    </w:p>
    <w:p w:rsidR="00760328" w:rsidRPr="00760328" w:rsidRDefault="00760328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  <w:u w:val="single"/>
        </w:rPr>
      </w:pPr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¿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Qué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documentos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puedo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proporcionar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proofErr w:type="gram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como</w:t>
      </w:r>
      <w:proofErr w:type="spellEnd"/>
      <w:proofErr w:type="gram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prueba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práctica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artística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?</w:t>
      </w:r>
    </w:p>
    <w:p w:rsidR="00760328" w:rsidRPr="00760328" w:rsidRDefault="00760328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proporcionar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documentos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demuestren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su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papel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profesional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campo de las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cultura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Esto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se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puede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evidenciar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pero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no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limitarse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a lo</w:t>
      </w:r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siguiente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:</w:t>
      </w:r>
    </w:p>
    <w:p w:rsidR="00760328" w:rsidRPr="00760328" w:rsidRDefault="00760328" w:rsidP="0076032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lastRenderedPageBreak/>
        <w:t xml:space="preserve">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sitio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web o las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redes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sociales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artista</w:t>
      </w:r>
      <w:proofErr w:type="spellEnd"/>
    </w:p>
    <w:p w:rsidR="00760328" w:rsidRPr="00760328" w:rsidRDefault="00760328" w:rsidP="0076032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El CV o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currículum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artista</w:t>
      </w:r>
      <w:proofErr w:type="spellEnd"/>
    </w:p>
    <w:p w:rsidR="00760328" w:rsidRPr="00760328" w:rsidRDefault="00760328" w:rsidP="0076032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Muestra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trabajo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visual o de video</w:t>
      </w:r>
    </w:p>
    <w:p w:rsidR="00760328" w:rsidRPr="00760328" w:rsidRDefault="00760328" w:rsidP="0076032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Folleto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teatro</w:t>
      </w:r>
      <w:proofErr w:type="spellEnd"/>
    </w:p>
    <w:p w:rsidR="00760328" w:rsidRPr="00760328" w:rsidRDefault="00760328" w:rsidP="0076032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Los derechos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autor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publicación</w:t>
      </w:r>
      <w:proofErr w:type="spellEnd"/>
    </w:p>
    <w:p w:rsidR="00760328" w:rsidRPr="00760328" w:rsidRDefault="00760328" w:rsidP="0076032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Una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lista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presentaciones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/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actuaciones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públicas</w:t>
      </w:r>
      <w:proofErr w:type="spellEnd"/>
    </w:p>
    <w:p w:rsidR="00760328" w:rsidRPr="00760328" w:rsidRDefault="00760328" w:rsidP="0076032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rPr>
          <w:rFonts w:asciiTheme="majorHAnsi" w:eastAsia="Calibri" w:hAnsiTheme="majorHAnsi" w:cstheme="majorHAnsi"/>
          <w:sz w:val="21"/>
          <w:szCs w:val="21"/>
          <w:highlight w:val="white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Toda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documentación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debe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incluir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nombre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del</w:t>
      </w:r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artista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.</w:t>
      </w:r>
    </w:p>
    <w:p w:rsidR="00760328" w:rsidRPr="00760328" w:rsidRDefault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  <w:highlight w:val="white"/>
          <w:u w:val="single"/>
        </w:rPr>
      </w:pPr>
    </w:p>
    <w:p w:rsidR="00760328" w:rsidRPr="00760328" w:rsidRDefault="00760328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  <w:u w:val="single"/>
        </w:rPr>
      </w:pPr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¿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Qué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formatos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archivos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se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aceptan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para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constancia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residencia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y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práctica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artística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  <w:u w:val="single"/>
        </w:rPr>
        <w:t>?</w:t>
      </w:r>
    </w:p>
    <w:p w:rsidR="00760328" w:rsidRPr="00760328" w:rsidRDefault="00760328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</w:rPr>
      </w:pPr>
    </w:p>
    <w:p w:rsidR="002D1399" w:rsidRPr="00760328" w:rsidRDefault="00760328" w:rsidP="00760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5" w:firstLine="14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Los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únicos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formatos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archivos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aceptados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son PDF, DOC, DOCX, PNG, JPG, JPEG y GIF. Para la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constancia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práctica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artística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hay </w:t>
      </w:r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un</w:t>
      </w:r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espacio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proporcionar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un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sitio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web. Si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desea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compartir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un</w:t>
      </w:r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archivo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audio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video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constancia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práctica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artística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brinde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un enlace a YouTube,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SoundCloud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Dropbox u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otro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servicio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compartir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archivos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Coloque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enlace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espacio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asignado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sitio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web.</w:t>
      </w:r>
    </w:p>
    <w:p w:rsidR="002D1399" w:rsidRPr="00760328" w:rsidRDefault="002D1399">
      <w:pPr>
        <w:widowControl w:val="0"/>
        <w:spacing w:line="240" w:lineRule="auto"/>
        <w:ind w:right="327"/>
        <w:rPr>
          <w:rFonts w:asciiTheme="majorHAnsi" w:eastAsia="Calibri" w:hAnsiTheme="majorHAnsi" w:cstheme="majorHAnsi"/>
          <w:sz w:val="21"/>
          <w:szCs w:val="21"/>
        </w:rPr>
      </w:pPr>
    </w:p>
    <w:p w:rsidR="00760328" w:rsidRPr="00760328" w:rsidRDefault="00760328" w:rsidP="00760328">
      <w:pPr>
        <w:widowControl w:val="0"/>
        <w:spacing w:line="240" w:lineRule="auto"/>
        <w:ind w:right="327"/>
        <w:rPr>
          <w:rFonts w:asciiTheme="majorHAnsi" w:eastAsia="Calibri" w:hAnsiTheme="majorHAnsi" w:cstheme="majorHAnsi"/>
          <w:b/>
          <w:sz w:val="21"/>
          <w:szCs w:val="21"/>
        </w:rPr>
      </w:pPr>
      <w:r w:rsidRPr="00760328">
        <w:rPr>
          <w:rFonts w:asciiTheme="majorHAnsi" w:eastAsia="Calibri" w:hAnsiTheme="majorHAnsi" w:cstheme="majorHAnsi"/>
          <w:b/>
          <w:sz w:val="21"/>
          <w:szCs w:val="21"/>
        </w:rPr>
        <w:t>¿TIENE PREGUNTAS?</w:t>
      </w:r>
    </w:p>
    <w:p w:rsidR="00760328" w:rsidRPr="00760328" w:rsidRDefault="00760328" w:rsidP="00760328">
      <w:pPr>
        <w:widowControl w:val="0"/>
        <w:spacing w:line="240" w:lineRule="auto"/>
        <w:ind w:right="327"/>
        <w:rPr>
          <w:rFonts w:asciiTheme="majorHAnsi" w:eastAsia="Calibri" w:hAnsiTheme="majorHAnsi" w:cstheme="majorHAnsi"/>
          <w:b/>
          <w:sz w:val="21"/>
          <w:szCs w:val="21"/>
        </w:rPr>
      </w:pPr>
    </w:p>
    <w:p w:rsidR="00760328" w:rsidRPr="00760328" w:rsidRDefault="00760328" w:rsidP="00760328">
      <w:pPr>
        <w:widowControl w:val="0"/>
        <w:spacing w:line="240" w:lineRule="auto"/>
        <w:ind w:right="327"/>
        <w:rPr>
          <w:rFonts w:asciiTheme="majorHAnsi" w:eastAsia="Calibri" w:hAnsiTheme="majorHAnsi" w:cstheme="majorHAnsi"/>
          <w:sz w:val="21"/>
          <w:szCs w:val="21"/>
        </w:rPr>
      </w:pP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Si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tiene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preguntas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sobre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o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proceso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solicitud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escriba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al YBCA </w:t>
      </w:r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a</w:t>
      </w:r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hyperlink r:id="rId9" w:history="1">
        <w:r w:rsidRPr="00760328">
          <w:rPr>
            <w:rStyle w:val="Hyperlink"/>
            <w:rFonts w:asciiTheme="majorHAnsi" w:eastAsia="Calibri" w:hAnsiTheme="majorHAnsi" w:cstheme="majorHAnsi"/>
            <w:sz w:val="21"/>
            <w:szCs w:val="21"/>
          </w:rPr>
          <w:t>artistrelief@ybca.org</w:t>
        </w:r>
      </w:hyperlink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con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asunto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: “CA Relief Fund” y un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número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contactarlo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>.</w:t>
      </w:r>
    </w:p>
    <w:p w:rsidR="00760328" w:rsidRPr="00760328" w:rsidRDefault="00760328" w:rsidP="00760328">
      <w:pPr>
        <w:widowControl w:val="0"/>
        <w:spacing w:line="240" w:lineRule="auto"/>
        <w:ind w:right="327"/>
        <w:rPr>
          <w:rFonts w:asciiTheme="majorHAnsi" w:eastAsia="Calibri" w:hAnsiTheme="majorHAnsi" w:cstheme="majorHAnsi"/>
          <w:sz w:val="21"/>
          <w:szCs w:val="21"/>
        </w:rPr>
      </w:pPr>
    </w:p>
    <w:p w:rsidR="002D1399" w:rsidRPr="00760328" w:rsidRDefault="00760328" w:rsidP="00760328">
      <w:pPr>
        <w:widowControl w:val="0"/>
        <w:spacing w:line="240" w:lineRule="auto"/>
        <w:ind w:right="327"/>
        <w:rPr>
          <w:rFonts w:asciiTheme="majorHAnsi" w:eastAsia="Calibri" w:hAnsiTheme="majorHAnsi" w:cstheme="majorHAnsi"/>
          <w:sz w:val="21"/>
          <w:szCs w:val="21"/>
        </w:rPr>
      </w:pP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Además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el personal </w:t>
      </w:r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del</w:t>
      </w:r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YBCA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está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brindar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ayuda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técnica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los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solicitantes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si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necesario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Póngase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en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contacto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con </w:t>
      </w:r>
      <w:hyperlink r:id="rId10" w:history="1">
        <w:r w:rsidRPr="00760328">
          <w:rPr>
            <w:rStyle w:val="Hyperlink"/>
            <w:rFonts w:asciiTheme="majorHAnsi" w:eastAsia="Calibri" w:hAnsiTheme="majorHAnsi" w:cstheme="majorHAnsi"/>
            <w:sz w:val="21"/>
            <w:szCs w:val="21"/>
          </w:rPr>
          <w:t>artistrelief@ybca.org</w:t>
        </w:r>
      </w:hyperlink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con 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asunto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“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Soporte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técnico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del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fondo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alivio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de California” para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obtener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ayuda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.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Intentaremos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responder lo antes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posible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,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pero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es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posible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que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tardemos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gramStart"/>
      <w:r w:rsidRPr="00760328">
        <w:rPr>
          <w:rFonts w:asciiTheme="majorHAnsi" w:eastAsia="Calibri" w:hAnsiTheme="majorHAnsi" w:cstheme="majorHAnsi"/>
          <w:sz w:val="21"/>
          <w:szCs w:val="21"/>
        </w:rPr>
        <w:t>un</w:t>
      </w:r>
      <w:proofErr w:type="gram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día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hábil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</w:t>
      </w:r>
      <w:proofErr w:type="spellStart"/>
      <w:r w:rsidRPr="00760328">
        <w:rPr>
          <w:rFonts w:asciiTheme="majorHAnsi" w:eastAsia="Calibri" w:hAnsiTheme="majorHAnsi" w:cstheme="majorHAnsi"/>
          <w:sz w:val="21"/>
          <w:szCs w:val="21"/>
        </w:rPr>
        <w:t>completo</w:t>
      </w:r>
      <w:proofErr w:type="spellEnd"/>
      <w:r w:rsidRPr="00760328">
        <w:rPr>
          <w:rFonts w:asciiTheme="majorHAnsi" w:eastAsia="Calibri" w:hAnsiTheme="majorHAnsi" w:cstheme="majorHAnsi"/>
          <w:sz w:val="21"/>
          <w:szCs w:val="21"/>
        </w:rPr>
        <w:t xml:space="preserve"> para responder.</w:t>
      </w:r>
    </w:p>
    <w:sectPr w:rsidR="002D1399" w:rsidRPr="00760328">
      <w:pgSz w:w="12240" w:h="15840"/>
      <w:pgMar w:top="1430" w:right="1431" w:bottom="1290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9D"/>
    <w:multiLevelType w:val="hybridMultilevel"/>
    <w:tmpl w:val="57AE467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8706227"/>
    <w:multiLevelType w:val="hybridMultilevel"/>
    <w:tmpl w:val="6A0A6862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" w15:restartNumberingAfterBreak="0">
    <w:nsid w:val="3A062CC8"/>
    <w:multiLevelType w:val="hybridMultilevel"/>
    <w:tmpl w:val="7398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5E0C"/>
    <w:multiLevelType w:val="hybridMultilevel"/>
    <w:tmpl w:val="9D3A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699C"/>
    <w:multiLevelType w:val="multilevel"/>
    <w:tmpl w:val="887A5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B2678C"/>
    <w:multiLevelType w:val="multilevel"/>
    <w:tmpl w:val="70A87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705079"/>
    <w:multiLevelType w:val="multilevel"/>
    <w:tmpl w:val="02E2D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2C0848"/>
    <w:multiLevelType w:val="multilevel"/>
    <w:tmpl w:val="A7086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9F33FA"/>
    <w:multiLevelType w:val="hybridMultilevel"/>
    <w:tmpl w:val="97B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9"/>
    <w:rsid w:val="000D0C70"/>
    <w:rsid w:val="002D1399"/>
    <w:rsid w:val="005034C5"/>
    <w:rsid w:val="00760328"/>
    <w:rsid w:val="00A43563"/>
    <w:rsid w:val="00BE07EA"/>
    <w:rsid w:val="00D9080A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C749"/>
  <w15:docId w15:val="{DCB00E06-462B-46CE-A050-E70A352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0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tistrelief@yb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bca.org/california-relief-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bca.org/california-relief-fun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rtistrelief@yb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strelief@yb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Blackwell</dc:creator>
  <cp:lastModifiedBy>Jason Blackwell</cp:lastModifiedBy>
  <cp:revision>4</cp:revision>
  <dcterms:created xsi:type="dcterms:W3CDTF">2022-04-20T21:28:00Z</dcterms:created>
  <dcterms:modified xsi:type="dcterms:W3CDTF">2022-04-20T21:57:00Z</dcterms:modified>
</cp:coreProperties>
</file>